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BB70F" w14:textId="77777777" w:rsidR="00803BE1" w:rsidRDefault="006B78F5" w:rsidP="00F85F13">
      <w:r w:rsidRPr="006B78F5">
        <w:t>〓〓〓〓〓〓〓〓〓〓〓〓〓〓〓〓〓〓〓〓〓〓〓〓〓〓〓〓〓〓〓〓〓〓〓〓〓〓〓〓〓〓〓〓〓</w:t>
      </w:r>
    </w:p>
    <w:p w14:paraId="750AAA9D" w14:textId="4D505AEA" w:rsidR="00A41700" w:rsidRDefault="00410900" w:rsidP="006B78F5">
      <w:pPr>
        <w:jc w:val="center"/>
      </w:pPr>
      <w:r>
        <w:rPr>
          <w:noProof/>
        </w:rPr>
        <w:drawing>
          <wp:inline distT="0" distB="0" distL="0" distR="0" wp14:anchorId="1EBC9E59" wp14:editId="62E68643">
            <wp:extent cx="5731510" cy="1550670"/>
            <wp:effectExtent l="0" t="0" r="254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기업소개서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5"/>
        <w:gridCol w:w="3427"/>
        <w:gridCol w:w="3794"/>
      </w:tblGrid>
      <w:tr w:rsidR="004D1AD7" w14:paraId="451BD939" w14:textId="77777777" w:rsidTr="002A6D8F">
        <w:trPr>
          <w:trHeight w:val="567"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4604" w14:textId="77777777" w:rsidR="00395A92" w:rsidRPr="006B78F5" w:rsidRDefault="00395A92" w:rsidP="006B78F5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Company Name</w:t>
            </w:r>
          </w:p>
        </w:tc>
        <w:tc>
          <w:tcPr>
            <w:tcW w:w="3685" w:type="dxa"/>
            <w:tcBorders>
              <w:top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CAE064" w14:textId="1BC2A49C" w:rsidR="00395A92" w:rsidRDefault="004D1AD7" w:rsidP="006B78F5">
            <w:pPr>
              <w:jc w:val="center"/>
            </w:pPr>
            <w:proofErr w:type="spellStart"/>
            <w:r w:rsidRPr="004D1AD7">
              <w:t>MicroLED</w:t>
            </w:r>
            <w:proofErr w:type="spellEnd"/>
            <w:r w:rsidRPr="004D1AD7">
              <w:t xml:space="preserve"> Display Research Center</w:t>
            </w:r>
          </w:p>
        </w:tc>
        <w:tc>
          <w:tcPr>
            <w:tcW w:w="334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0F4D78" w14:textId="77777777" w:rsidR="00395A92" w:rsidRPr="00395A92" w:rsidRDefault="00395A92" w:rsidP="006B78F5">
            <w:pPr>
              <w:jc w:val="center"/>
              <w:rPr>
                <w:b/>
              </w:rPr>
            </w:pPr>
            <w:r w:rsidRPr="00395A92">
              <w:rPr>
                <w:rFonts w:hint="eastAsia"/>
                <w:b/>
              </w:rPr>
              <w:t>Company Logo</w:t>
            </w:r>
          </w:p>
        </w:tc>
      </w:tr>
      <w:tr w:rsidR="004D1AD7" w14:paraId="673BF5A8" w14:textId="77777777" w:rsidTr="004D1AD7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693772" w14:textId="77777777" w:rsidR="004D1AD7" w:rsidRPr="006B78F5" w:rsidRDefault="004D1AD7" w:rsidP="004D1AD7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Address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810527" w14:textId="0F2FA599" w:rsidR="004D1AD7" w:rsidRDefault="004D1AD7" w:rsidP="004D1AD7">
            <w:pPr>
              <w:jc w:val="center"/>
            </w:pPr>
            <w:proofErr w:type="spellStart"/>
            <w:r w:rsidRPr="00211844">
              <w:t>Hanyang</w:t>
            </w:r>
            <w:proofErr w:type="spellEnd"/>
            <w:r w:rsidRPr="00211844">
              <w:t xml:space="preserve"> Institute for Precision Therapeutics 1st floor office, 55, </w:t>
            </w:r>
            <w:proofErr w:type="spellStart"/>
            <w:r w:rsidRPr="00211844">
              <w:t>Hanyangdaehak-ro</w:t>
            </w:r>
            <w:proofErr w:type="spellEnd"/>
            <w:r w:rsidRPr="00211844">
              <w:t xml:space="preserve">, </w:t>
            </w:r>
            <w:proofErr w:type="spellStart"/>
            <w:r w:rsidRPr="00211844">
              <w:t>Sangnok-gu</w:t>
            </w:r>
            <w:proofErr w:type="spellEnd"/>
            <w:r w:rsidRPr="00211844">
              <w:t xml:space="preserve">, </w:t>
            </w:r>
            <w:proofErr w:type="spellStart"/>
            <w:r w:rsidRPr="00211844">
              <w:t>Ansan-si</w:t>
            </w:r>
            <w:proofErr w:type="spellEnd"/>
            <w:r w:rsidRPr="00211844">
              <w:t xml:space="preserve">, </w:t>
            </w:r>
            <w:proofErr w:type="spellStart"/>
            <w:r w:rsidRPr="00211844">
              <w:t>Gyeonggi</w:t>
            </w:r>
            <w:proofErr w:type="spellEnd"/>
            <w:r w:rsidRPr="00211844">
              <w:t>-do, Republic of Korea</w:t>
            </w:r>
          </w:p>
        </w:tc>
        <w:tc>
          <w:tcPr>
            <w:tcW w:w="3341" w:type="dxa"/>
            <w:vMerge w:val="restart"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0BAF82DC" w14:textId="09C89618" w:rsidR="004D1AD7" w:rsidRDefault="004D1AD7" w:rsidP="004D1AD7">
            <w:pPr>
              <w:pStyle w:val="a8"/>
              <w:jc w:val="center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AEA0D33" wp14:editId="0C380CA2">
                  <wp:extent cx="2272284" cy="473710"/>
                  <wp:effectExtent l="0" t="0" r="0" b="2540"/>
                  <wp:docPr id="1" name="그림 1" descr="\\166.104.204.60\desktop\차세대 디스플레이 연구센터\302. 전시회 준비\03. KMID\2026 KMiD\2026 KMiD_연구센터 로고\마이크로LED 디스플레이 연구센터_2026 KMiD 로고_260107_수정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66.104.204.60\desktop\차세대 디스플레이 연구센터\302. 전시회 준비\03. KMID\2026 KMiD\2026 KMiD_연구센터 로고\마이크로LED 디스플레이 연구센터_2026 KMiD 로고_260107_수정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9210" cy="518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AD7" w14:paraId="0F9D470D" w14:textId="77777777" w:rsidTr="002A6D8F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4C0FAB" w14:textId="77777777" w:rsidR="004D1AD7" w:rsidRPr="006B78F5" w:rsidRDefault="004D1AD7" w:rsidP="004D1AD7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President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BA3C" w14:textId="13D00CC2" w:rsidR="004D1AD7" w:rsidRDefault="004D1AD7" w:rsidP="004D1AD7">
            <w:pPr>
              <w:jc w:val="center"/>
            </w:pPr>
            <w:proofErr w:type="spellStart"/>
            <w:r>
              <w:t>Jaekyun</w:t>
            </w:r>
            <w:proofErr w:type="spellEnd"/>
            <w:r>
              <w:t xml:space="preserve"> Kim</w:t>
            </w:r>
          </w:p>
        </w:tc>
        <w:tc>
          <w:tcPr>
            <w:tcW w:w="3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4C526298" w14:textId="77777777" w:rsidR="004D1AD7" w:rsidRDefault="004D1AD7" w:rsidP="004D1AD7">
            <w:pPr>
              <w:jc w:val="center"/>
            </w:pPr>
          </w:p>
        </w:tc>
      </w:tr>
      <w:tr w:rsidR="004D1AD7" w14:paraId="185B29FC" w14:textId="77777777" w:rsidTr="002A6D8F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BB6B6E" w14:textId="77777777" w:rsidR="004D1AD7" w:rsidRPr="006B78F5" w:rsidRDefault="004D1AD7" w:rsidP="004D1AD7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Website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2D28" w14:textId="2F862B78" w:rsidR="004D1AD7" w:rsidRDefault="004D1AD7" w:rsidP="004D1AD7">
            <w:pPr>
              <w:jc w:val="center"/>
            </w:pPr>
            <w:r w:rsidRPr="00B6169A">
              <w:t>http://microled.hanyang.ac.kr/</w:t>
            </w:r>
          </w:p>
        </w:tc>
        <w:tc>
          <w:tcPr>
            <w:tcW w:w="3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B723B55" w14:textId="77777777" w:rsidR="004D1AD7" w:rsidRDefault="004D1AD7" w:rsidP="004D1AD7">
            <w:pPr>
              <w:jc w:val="center"/>
            </w:pPr>
          </w:p>
        </w:tc>
      </w:tr>
      <w:tr w:rsidR="004D1AD7" w14:paraId="005A4076" w14:textId="77777777" w:rsidTr="002A6D8F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6676FE" w14:textId="77777777" w:rsidR="004D1AD7" w:rsidRPr="006B78F5" w:rsidRDefault="004D1AD7" w:rsidP="004D1AD7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E-mail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F54C" w14:textId="493E6EE3" w:rsidR="004D1AD7" w:rsidRDefault="004D1AD7" w:rsidP="004D1AD7">
            <w:pPr>
              <w:jc w:val="center"/>
            </w:pPr>
            <w:r w:rsidRPr="00211844">
              <w:t>cor2080@hanyang.ac.kr</w:t>
            </w:r>
          </w:p>
        </w:tc>
        <w:tc>
          <w:tcPr>
            <w:tcW w:w="3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DA2245F" w14:textId="77777777" w:rsidR="004D1AD7" w:rsidRDefault="004D1AD7" w:rsidP="004D1AD7">
            <w:pPr>
              <w:jc w:val="center"/>
            </w:pPr>
          </w:p>
        </w:tc>
      </w:tr>
      <w:tr w:rsidR="004D1AD7" w14:paraId="368BABA7" w14:textId="77777777" w:rsidTr="002A6D8F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67A14C" w14:textId="77777777" w:rsidR="004D1AD7" w:rsidRPr="006B78F5" w:rsidRDefault="004D1AD7" w:rsidP="004D1AD7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Telephone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39D74" w14:textId="7B30E190" w:rsidR="004D1AD7" w:rsidRDefault="004D1AD7" w:rsidP="004D1AD7">
            <w:pPr>
              <w:jc w:val="center"/>
            </w:pPr>
            <w:r w:rsidRPr="00211844">
              <w:t>031-400-4680</w:t>
            </w:r>
          </w:p>
        </w:tc>
        <w:tc>
          <w:tcPr>
            <w:tcW w:w="3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62DC3FE2" w14:textId="77777777" w:rsidR="004D1AD7" w:rsidRDefault="004D1AD7" w:rsidP="004D1AD7">
            <w:pPr>
              <w:jc w:val="center"/>
            </w:pPr>
          </w:p>
        </w:tc>
      </w:tr>
      <w:tr w:rsidR="004D1AD7" w14:paraId="08605FBE" w14:textId="77777777" w:rsidTr="002A6D8F">
        <w:trPr>
          <w:trHeight w:val="567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44E463" w14:textId="77777777" w:rsidR="004D1AD7" w:rsidRPr="006B78F5" w:rsidRDefault="004D1AD7" w:rsidP="004D1AD7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Fax</w:t>
            </w:r>
          </w:p>
        </w:tc>
        <w:tc>
          <w:tcPr>
            <w:tcW w:w="3685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8FA5EB8" w14:textId="1D4A4F1F" w:rsidR="004D1AD7" w:rsidRDefault="004D1AD7" w:rsidP="004D1AD7">
            <w:pPr>
              <w:jc w:val="center"/>
            </w:pPr>
            <w:r>
              <w:t>-</w:t>
            </w:r>
          </w:p>
        </w:tc>
        <w:tc>
          <w:tcPr>
            <w:tcW w:w="3341" w:type="dxa"/>
            <w:vMerge/>
            <w:tcBorders>
              <w:left w:val="single" w:sz="4" w:space="0" w:color="000000"/>
              <w:right w:val="double" w:sz="4" w:space="0" w:color="auto"/>
            </w:tcBorders>
            <w:vAlign w:val="center"/>
          </w:tcPr>
          <w:p w14:paraId="58106786" w14:textId="77777777" w:rsidR="004D1AD7" w:rsidRDefault="004D1AD7" w:rsidP="004D1AD7">
            <w:pPr>
              <w:jc w:val="center"/>
            </w:pPr>
          </w:p>
        </w:tc>
      </w:tr>
      <w:tr w:rsidR="004D1AD7" w14:paraId="5C5BE407" w14:textId="77777777" w:rsidTr="00F85F13">
        <w:trPr>
          <w:trHeight w:val="2170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45AA40" w14:textId="77777777" w:rsidR="004D1AD7" w:rsidRPr="006B78F5" w:rsidRDefault="004D1AD7" w:rsidP="004D1AD7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Exhibitor Introduction</w:t>
            </w:r>
          </w:p>
        </w:tc>
        <w:tc>
          <w:tcPr>
            <w:tcW w:w="7026" w:type="dxa"/>
            <w:gridSpan w:val="2"/>
            <w:tcBorders>
              <w:right w:val="double" w:sz="4" w:space="0" w:color="auto"/>
            </w:tcBorders>
            <w:vAlign w:val="center"/>
          </w:tcPr>
          <w:p w14:paraId="5E809D86" w14:textId="77777777" w:rsidR="004D1AD7" w:rsidRDefault="004D1AD7" w:rsidP="004D1AD7">
            <w:pPr>
              <w:ind w:firstLineChars="50" w:firstLine="100"/>
              <w:jc w:val="left"/>
            </w:pPr>
            <w:proofErr w:type="spellStart"/>
            <w:r>
              <w:t>Hanyang</w:t>
            </w:r>
            <w:proofErr w:type="spellEnd"/>
            <w:r>
              <w:t xml:space="preserve"> University ERICA Micro LED Display Research Center is a core facility established to support research and development in next-generation display technologies, including Micro LED, OLED, quantum dot, and related display materials, components, and devices.</w:t>
            </w:r>
          </w:p>
          <w:p w14:paraId="072801DD" w14:textId="77777777" w:rsidR="004D1AD7" w:rsidRDefault="004D1AD7" w:rsidP="004D1AD7">
            <w:pPr>
              <w:ind w:firstLineChars="50" w:firstLine="100"/>
              <w:jc w:val="left"/>
            </w:pPr>
          </w:p>
          <w:p w14:paraId="24DC2925" w14:textId="77777777" w:rsidR="004D1AD7" w:rsidRDefault="004D1AD7" w:rsidP="004D1AD7">
            <w:pPr>
              <w:ind w:firstLineChars="50" w:firstLine="100"/>
              <w:jc w:val="left"/>
            </w:pPr>
            <w:r>
              <w:t>As an independent research support institute, the center provides advanced research infrastructure, professional analysis services, and technical support for display-related research. The center aims to promote open innovation and strengthen industry-academia collaboration by supporting joint research, equipment utilization, and technology exchange with universities, research institutes, and display-related companies.</w:t>
            </w:r>
          </w:p>
          <w:p w14:paraId="2D232A36" w14:textId="77777777" w:rsidR="004D1AD7" w:rsidRDefault="004D1AD7" w:rsidP="004D1AD7">
            <w:pPr>
              <w:ind w:firstLineChars="50" w:firstLine="100"/>
              <w:jc w:val="left"/>
            </w:pPr>
          </w:p>
          <w:p w14:paraId="2FA15C3A" w14:textId="3917352E" w:rsidR="004D1AD7" w:rsidRPr="004D1AD7" w:rsidRDefault="004D1AD7" w:rsidP="004D1AD7">
            <w:pPr>
              <w:ind w:firstLineChars="50" w:firstLine="100"/>
              <w:jc w:val="left"/>
            </w:pPr>
            <w:r>
              <w:t xml:space="preserve">With dedicated technical staff and specialized research equipment, </w:t>
            </w:r>
            <w:proofErr w:type="spellStart"/>
            <w:r>
              <w:t>Hanyang</w:t>
            </w:r>
            <w:proofErr w:type="spellEnd"/>
            <w:r>
              <w:t xml:space="preserve"> University ERICA Micro LED Display Research Center offers efficient and reliable support for external users seeking high-quality measurement and analysis services in the field of next-generation displays.</w:t>
            </w:r>
          </w:p>
        </w:tc>
      </w:tr>
      <w:tr w:rsidR="004D1AD7" w14:paraId="2BCB230E" w14:textId="77777777" w:rsidTr="002A6D8F">
        <w:trPr>
          <w:trHeight w:val="1134"/>
        </w:trPr>
        <w:tc>
          <w:tcPr>
            <w:tcW w:w="1970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47BAE8" w14:textId="77777777" w:rsidR="004D1AD7" w:rsidRPr="006B78F5" w:rsidRDefault="004D1AD7" w:rsidP="004D1AD7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lastRenderedPageBreak/>
              <w:t>Exhibit Description</w:t>
            </w:r>
          </w:p>
        </w:tc>
        <w:tc>
          <w:tcPr>
            <w:tcW w:w="7026" w:type="dxa"/>
            <w:gridSpan w:val="2"/>
            <w:tcBorders>
              <w:right w:val="double" w:sz="4" w:space="0" w:color="auto"/>
            </w:tcBorders>
            <w:vAlign w:val="center"/>
          </w:tcPr>
          <w:p w14:paraId="344B5C74" w14:textId="77777777" w:rsidR="004D1AD7" w:rsidRDefault="004D1AD7" w:rsidP="004D1AD7">
            <w:pPr>
              <w:jc w:val="left"/>
            </w:pPr>
            <w:r>
              <w:t xml:space="preserve">At IMID 2026, </w:t>
            </w:r>
            <w:proofErr w:type="spellStart"/>
            <w:r>
              <w:t>Hanyang</w:t>
            </w:r>
            <w:proofErr w:type="spellEnd"/>
            <w:r>
              <w:t xml:space="preserve"> University ERICA Micro LED Display Research Center will introduce its research infrastructure and technical support services for next-generation display materials, components, and devices.</w:t>
            </w:r>
          </w:p>
          <w:p w14:paraId="4A269386" w14:textId="77777777" w:rsidR="004D1AD7" w:rsidRDefault="004D1AD7" w:rsidP="004D1AD7">
            <w:pPr>
              <w:jc w:val="left"/>
            </w:pPr>
          </w:p>
          <w:p w14:paraId="44F65D29" w14:textId="77777777" w:rsidR="004D1AD7" w:rsidRDefault="004D1AD7" w:rsidP="004D1AD7">
            <w:pPr>
              <w:jc w:val="left"/>
            </w:pPr>
            <w:r>
              <w:t xml:space="preserve">The center operates more than 20 types of specialized measurement and analysis equipment, including the Micro LED Wafer/Display High-Speed Automatic PL/EL Cluster, Confocal EL Probe Station, Raman Microscope, 3D Measuring Laser Microscope, Auto Probe Station, Atomic Force Microscope, Micro-Spectrophotometer, and Imaging Spectroscopic </w:t>
            </w:r>
            <w:proofErr w:type="spellStart"/>
            <w:r>
              <w:t>Ellipsometer</w:t>
            </w:r>
            <w:proofErr w:type="spellEnd"/>
            <w:r>
              <w:t>.</w:t>
            </w:r>
          </w:p>
          <w:p w14:paraId="3A60D3CC" w14:textId="77777777" w:rsidR="004D1AD7" w:rsidRDefault="004D1AD7" w:rsidP="004D1AD7">
            <w:pPr>
              <w:jc w:val="left"/>
            </w:pPr>
          </w:p>
          <w:p w14:paraId="2FAA1426" w14:textId="77777777" w:rsidR="004D1AD7" w:rsidRDefault="004D1AD7" w:rsidP="004D1AD7">
            <w:pPr>
              <w:jc w:val="left"/>
            </w:pPr>
            <w:r>
              <w:t xml:space="preserve">Through these facilities, the center supports various analysis services such as optical, electrical, structural, surface, and thin-film characterization for Micro LED, OLED, quantum dot, and other advanced display technologies. Each instrument </w:t>
            </w:r>
            <w:proofErr w:type="gramStart"/>
            <w:r>
              <w:t>is systematically managed</w:t>
            </w:r>
            <w:proofErr w:type="gramEnd"/>
            <w:r>
              <w:t xml:space="preserve"> according to its application, and experienced technical staff provide equipment operation, measurement support, data analysis assistance, and technical mentoring.</w:t>
            </w:r>
          </w:p>
          <w:p w14:paraId="2AD3C3E2" w14:textId="77777777" w:rsidR="004D1AD7" w:rsidRDefault="004D1AD7" w:rsidP="004D1AD7">
            <w:pPr>
              <w:jc w:val="left"/>
            </w:pPr>
          </w:p>
          <w:p w14:paraId="76DA325D" w14:textId="190E72EC" w:rsidR="004D1AD7" w:rsidRPr="004D1AD7" w:rsidRDefault="004D1AD7" w:rsidP="004D1AD7">
            <w:pPr>
              <w:jc w:val="left"/>
              <w:rPr>
                <w:rFonts w:hint="eastAsia"/>
              </w:rPr>
            </w:pPr>
            <w:r>
              <w:t>The center also promotes industry-academia cooperation through membership programs, joint research activitie</w:t>
            </w:r>
            <w:bookmarkStart w:id="0" w:name="_GoBack"/>
            <w:bookmarkEnd w:id="0"/>
            <w:r>
              <w:t>s, technical exchange meetings, and customized research support. Visitors to the booth can learn about the center’s available equipment, analysis services, collaborative research opportunities, and support programs for display-related companies and institutions.</w:t>
            </w:r>
          </w:p>
        </w:tc>
      </w:tr>
      <w:tr w:rsidR="004D1AD7" w14:paraId="340B4E14" w14:textId="77777777" w:rsidTr="002A6D8F">
        <w:trPr>
          <w:trHeight w:val="1134"/>
        </w:trPr>
        <w:tc>
          <w:tcPr>
            <w:tcW w:w="1970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0CA0EF" w14:textId="77777777" w:rsidR="004D1AD7" w:rsidRPr="006B78F5" w:rsidRDefault="004D1AD7" w:rsidP="004D1AD7">
            <w:pPr>
              <w:jc w:val="center"/>
              <w:rPr>
                <w:b/>
              </w:rPr>
            </w:pPr>
            <w:r w:rsidRPr="006B78F5">
              <w:rPr>
                <w:rFonts w:hint="eastAsia"/>
                <w:b/>
              </w:rPr>
              <w:t>Exhibit Product</w:t>
            </w:r>
          </w:p>
        </w:tc>
        <w:tc>
          <w:tcPr>
            <w:tcW w:w="7026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86CA4A" w14:textId="20CD6CC9" w:rsidR="004D1AD7" w:rsidRPr="00A669D1" w:rsidRDefault="004D1AD7" w:rsidP="004D1AD7">
            <w:pPr>
              <w:jc w:val="left"/>
              <w:rPr>
                <w:rFonts w:hint="eastAsia"/>
                <w:b/>
                <w:bCs/>
              </w:rPr>
            </w:pPr>
            <w:r>
              <w:t>Research Infrastructure and Technical Support Services for Next-Generation Display Technologies</w:t>
            </w:r>
          </w:p>
        </w:tc>
      </w:tr>
    </w:tbl>
    <w:p w14:paraId="30BF1CE6" w14:textId="219B0E2D" w:rsidR="006B78F5" w:rsidRPr="006B78F5" w:rsidRDefault="006B78F5" w:rsidP="002A6D8F">
      <w:pPr>
        <w:tabs>
          <w:tab w:val="left" w:pos="3644"/>
        </w:tabs>
      </w:pPr>
    </w:p>
    <w:sectPr w:rsidR="006B78F5" w:rsidRPr="006B78F5" w:rsidSect="00F85F13">
      <w:headerReference w:type="default" r:id="rId9"/>
      <w:pgSz w:w="11906" w:h="16838"/>
      <w:pgMar w:top="1701" w:right="1440" w:bottom="709" w:left="1440" w:header="56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48594" w14:textId="77777777" w:rsidR="00C62A51" w:rsidRDefault="00C62A51" w:rsidP="006B78F5">
      <w:pPr>
        <w:spacing w:after="0" w:line="240" w:lineRule="auto"/>
      </w:pPr>
      <w:r>
        <w:separator/>
      </w:r>
    </w:p>
  </w:endnote>
  <w:endnote w:type="continuationSeparator" w:id="0">
    <w:p w14:paraId="677701CC" w14:textId="77777777" w:rsidR="00C62A51" w:rsidRDefault="00C62A51" w:rsidP="006B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64C1B" w14:textId="77777777" w:rsidR="00C62A51" w:rsidRDefault="00C62A51" w:rsidP="006B78F5">
      <w:pPr>
        <w:spacing w:after="0" w:line="240" w:lineRule="auto"/>
      </w:pPr>
      <w:r>
        <w:separator/>
      </w:r>
    </w:p>
  </w:footnote>
  <w:footnote w:type="continuationSeparator" w:id="0">
    <w:p w14:paraId="19CF00E6" w14:textId="77777777" w:rsidR="00C62A51" w:rsidRDefault="00C62A51" w:rsidP="006B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9D20" w14:textId="4079E3EC" w:rsidR="006B78F5" w:rsidRPr="004F5281" w:rsidRDefault="000B69C4" w:rsidP="00F85F13">
    <w:pPr>
      <w:jc w:val="center"/>
      <w:rPr>
        <w:rFonts w:ascii="돋움" w:eastAsia="돋움" w:hAnsi="돋움"/>
        <w:b/>
        <w:sz w:val="30"/>
        <w:szCs w:val="30"/>
      </w:rPr>
    </w:pPr>
    <w:r>
      <w:rPr>
        <w:rFonts w:ascii="돋움" w:eastAsia="돋움" w:hAnsi="돋움" w:hint="eastAsia"/>
        <w:b/>
        <w:noProof/>
        <w:sz w:val="30"/>
        <w:szCs w:val="30"/>
      </w:rPr>
      <w:drawing>
        <wp:inline distT="0" distB="0" distL="0" distR="0" wp14:anchorId="1F29B266" wp14:editId="40071926">
          <wp:extent cx="2167200" cy="716237"/>
          <wp:effectExtent l="0" t="0" r="5080" b="8255"/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ID logo_기업소개서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200" cy="71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6509B"/>
    <w:multiLevelType w:val="hybridMultilevel"/>
    <w:tmpl w:val="55587C44"/>
    <w:lvl w:ilvl="0" w:tplc="B130F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1FC21825"/>
    <w:multiLevelType w:val="hybridMultilevel"/>
    <w:tmpl w:val="09402C60"/>
    <w:lvl w:ilvl="0" w:tplc="13D2E26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42D7D9C"/>
    <w:multiLevelType w:val="hybridMultilevel"/>
    <w:tmpl w:val="ECD41152"/>
    <w:lvl w:ilvl="0" w:tplc="57967C3E">
      <w:start w:val="1"/>
      <w:numFmt w:val="bullet"/>
      <w:lvlText w:val="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 w15:restartNumberingAfterBreak="0">
    <w:nsid w:val="74472A13"/>
    <w:multiLevelType w:val="hybridMultilevel"/>
    <w:tmpl w:val="57DAA1F6"/>
    <w:lvl w:ilvl="0" w:tplc="B26A311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8F5"/>
    <w:rsid w:val="000B69C4"/>
    <w:rsid w:val="00117521"/>
    <w:rsid w:val="002A6D8F"/>
    <w:rsid w:val="002F5EBF"/>
    <w:rsid w:val="00395A92"/>
    <w:rsid w:val="003969E7"/>
    <w:rsid w:val="00400822"/>
    <w:rsid w:val="00410900"/>
    <w:rsid w:val="00421DBD"/>
    <w:rsid w:val="00431508"/>
    <w:rsid w:val="004D1AD7"/>
    <w:rsid w:val="004F5281"/>
    <w:rsid w:val="0062753C"/>
    <w:rsid w:val="006B78F5"/>
    <w:rsid w:val="0072079E"/>
    <w:rsid w:val="007B5D91"/>
    <w:rsid w:val="00802367"/>
    <w:rsid w:val="00803670"/>
    <w:rsid w:val="00803BE1"/>
    <w:rsid w:val="00887D33"/>
    <w:rsid w:val="00A41700"/>
    <w:rsid w:val="00A669D1"/>
    <w:rsid w:val="00B64DB8"/>
    <w:rsid w:val="00C62A51"/>
    <w:rsid w:val="00CC0037"/>
    <w:rsid w:val="00CC204F"/>
    <w:rsid w:val="00DA2047"/>
    <w:rsid w:val="00E03BC0"/>
    <w:rsid w:val="00EF49CE"/>
    <w:rsid w:val="00F119D5"/>
    <w:rsid w:val="00F139D3"/>
    <w:rsid w:val="00F85F13"/>
    <w:rsid w:val="00F9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EC753"/>
  <w15:chartTrackingRefBased/>
  <w15:docId w15:val="{3DC362CD-6FF0-44C2-9CDE-9F488F57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78F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B78F5"/>
  </w:style>
  <w:style w:type="paragraph" w:styleId="a4">
    <w:name w:val="footer"/>
    <w:basedOn w:val="a"/>
    <w:link w:val="Char0"/>
    <w:uiPriority w:val="99"/>
    <w:unhideWhenUsed/>
    <w:rsid w:val="006B78F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B78F5"/>
  </w:style>
  <w:style w:type="table" w:styleId="a5">
    <w:name w:val="Table Grid"/>
    <w:basedOn w:val="a1"/>
    <w:uiPriority w:val="39"/>
    <w:rsid w:val="006B7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C0037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CC0037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119D5"/>
    <w:pPr>
      <w:ind w:leftChars="400" w:left="800"/>
    </w:pPr>
  </w:style>
  <w:style w:type="paragraph" w:styleId="a8">
    <w:name w:val="Normal (Web)"/>
    <w:basedOn w:val="a"/>
    <w:uiPriority w:val="99"/>
    <w:unhideWhenUsed/>
    <w:rsid w:val="004D1AD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길희경</dc:creator>
  <cp:keywords/>
  <dc:description/>
  <cp:lastModifiedBy>HYU</cp:lastModifiedBy>
  <cp:revision>4</cp:revision>
  <dcterms:created xsi:type="dcterms:W3CDTF">2026-02-04T08:21:00Z</dcterms:created>
  <dcterms:modified xsi:type="dcterms:W3CDTF">2026-06-02T10:03:00Z</dcterms:modified>
</cp:coreProperties>
</file>